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0"/>
        <w:gridCol w:w="3150"/>
        <w:gridCol w:w="1132"/>
        <w:gridCol w:w="1151"/>
        <w:gridCol w:w="799"/>
        <w:gridCol w:w="1418"/>
      </w:tblGrid>
      <w:tr w:rsidR="008F02CE" w:rsidRPr="0056659C" w:rsidTr="00837CD0">
        <w:trPr>
          <w:trHeight w:val="198"/>
        </w:trPr>
        <w:tc>
          <w:tcPr>
            <w:tcW w:w="1710" w:type="dxa"/>
          </w:tcPr>
          <w:p w:rsidR="008F02CE" w:rsidRPr="0056659C" w:rsidRDefault="008F02CE" w:rsidP="00837CD0">
            <w:pPr>
              <w:spacing w:after="0"/>
              <w:rPr>
                <w:rFonts w:ascii="Times New Roman" w:eastAsia="Times New Roman" w:hAnsi="Times New Roman"/>
                <w:b/>
                <w:sz w:val="24"/>
                <w:szCs w:val="22"/>
              </w:rPr>
            </w:pPr>
            <w:r w:rsidRPr="0056659C">
              <w:rPr>
                <w:rFonts w:ascii="Times New Roman" w:hAnsi="Times New Roman"/>
                <w:sz w:val="24"/>
                <w:szCs w:val="22"/>
              </w:rPr>
              <w:br w:type="page"/>
            </w:r>
            <w:r w:rsidRPr="0056659C">
              <w:rPr>
                <w:rFonts w:ascii="Times New Roman" w:hAnsi="Times New Roman"/>
                <w:sz w:val="24"/>
                <w:szCs w:val="22"/>
              </w:rPr>
              <w:br w:type="page"/>
              <w:t xml:space="preserve"> </w:t>
            </w:r>
            <w:r w:rsidRPr="0056659C">
              <w:rPr>
                <w:rFonts w:ascii="Times New Roman" w:eastAsia="Times New Roman" w:hAnsi="Times New Roman"/>
                <w:b/>
                <w:sz w:val="24"/>
                <w:szCs w:val="22"/>
              </w:rPr>
              <w:t>Patient Name</w:t>
            </w:r>
          </w:p>
        </w:tc>
        <w:tc>
          <w:tcPr>
            <w:tcW w:w="3150" w:type="dxa"/>
          </w:tcPr>
          <w:p w:rsidR="008F02CE" w:rsidRPr="0056659C" w:rsidRDefault="008F02CE" w:rsidP="00837CD0">
            <w:pPr>
              <w:spacing w:after="0"/>
              <w:rPr>
                <w:rFonts w:ascii="Times New Roman" w:eastAsia="Times New Roman" w:hAnsi="Times New Roman"/>
                <w:b/>
                <w:sz w:val="24"/>
                <w:szCs w:val="22"/>
              </w:rPr>
            </w:pPr>
            <w:r w:rsidRPr="0056659C">
              <w:rPr>
                <w:rFonts w:ascii="Times New Roman" w:eastAsia="Times New Roman" w:hAnsi="Times New Roman"/>
                <w:b/>
                <w:sz w:val="24"/>
                <w:szCs w:val="22"/>
              </w:rPr>
              <w:t xml:space="preserve">Mr. </w:t>
            </w:r>
          </w:p>
        </w:tc>
        <w:tc>
          <w:tcPr>
            <w:tcW w:w="1132" w:type="dxa"/>
          </w:tcPr>
          <w:p w:rsidR="008F02CE" w:rsidRPr="0056659C" w:rsidRDefault="008F02CE" w:rsidP="00837CD0">
            <w:pPr>
              <w:spacing w:after="0"/>
              <w:ind w:right="72"/>
              <w:jc w:val="center"/>
              <w:rPr>
                <w:rFonts w:ascii="Times New Roman" w:eastAsia="Times New Roman" w:hAnsi="Times New Roman"/>
                <w:b/>
                <w:sz w:val="24"/>
                <w:szCs w:val="22"/>
              </w:rPr>
            </w:pPr>
            <w:r w:rsidRPr="0056659C">
              <w:rPr>
                <w:rFonts w:ascii="Times New Roman" w:eastAsia="Times New Roman" w:hAnsi="Times New Roman"/>
                <w:b/>
                <w:sz w:val="24"/>
                <w:szCs w:val="22"/>
              </w:rPr>
              <w:t>Age/sex</w:t>
            </w:r>
          </w:p>
        </w:tc>
        <w:tc>
          <w:tcPr>
            <w:tcW w:w="1151" w:type="dxa"/>
          </w:tcPr>
          <w:p w:rsidR="008F02CE" w:rsidRPr="0056659C" w:rsidRDefault="008F02CE" w:rsidP="00837CD0">
            <w:pPr>
              <w:spacing w:after="0"/>
              <w:jc w:val="center"/>
              <w:rPr>
                <w:rFonts w:ascii="Times New Roman" w:eastAsia="Times New Roman" w:hAnsi="Times New Roman"/>
                <w:b/>
                <w:sz w:val="24"/>
                <w:szCs w:val="22"/>
              </w:rPr>
            </w:pPr>
            <w:r w:rsidRPr="0056659C">
              <w:rPr>
                <w:rFonts w:ascii="Times New Roman" w:eastAsia="Times New Roman" w:hAnsi="Times New Roman"/>
                <w:b/>
                <w:sz w:val="24"/>
                <w:szCs w:val="22"/>
              </w:rPr>
              <w:t>Y/ M</w:t>
            </w:r>
          </w:p>
        </w:tc>
        <w:tc>
          <w:tcPr>
            <w:tcW w:w="799" w:type="dxa"/>
          </w:tcPr>
          <w:p w:rsidR="008F02CE" w:rsidRPr="0056659C" w:rsidRDefault="008F02CE" w:rsidP="00837CD0">
            <w:pPr>
              <w:spacing w:after="0"/>
              <w:jc w:val="center"/>
              <w:rPr>
                <w:rFonts w:ascii="Times New Roman" w:eastAsia="Times New Roman" w:hAnsi="Times New Roman"/>
                <w:b/>
                <w:sz w:val="24"/>
                <w:szCs w:val="22"/>
              </w:rPr>
            </w:pPr>
            <w:r w:rsidRPr="0056659C">
              <w:rPr>
                <w:rFonts w:ascii="Times New Roman" w:eastAsia="Times New Roman" w:hAnsi="Times New Roman"/>
                <w:b/>
                <w:sz w:val="24"/>
                <w:szCs w:val="22"/>
              </w:rPr>
              <w:t>Date</w:t>
            </w:r>
          </w:p>
        </w:tc>
        <w:tc>
          <w:tcPr>
            <w:tcW w:w="1418" w:type="dxa"/>
          </w:tcPr>
          <w:p w:rsidR="008F02CE" w:rsidRPr="0056659C" w:rsidRDefault="008F02CE" w:rsidP="00837CD0">
            <w:pPr>
              <w:spacing w:after="0"/>
              <w:ind w:right="-288"/>
              <w:rPr>
                <w:rFonts w:ascii="Times New Roman" w:eastAsia="Times New Roman" w:hAnsi="Times New Roman"/>
                <w:b/>
                <w:sz w:val="24"/>
                <w:szCs w:val="22"/>
              </w:rPr>
            </w:pPr>
          </w:p>
        </w:tc>
      </w:tr>
      <w:tr w:rsidR="008F02CE" w:rsidRPr="0056659C" w:rsidTr="00837CD0">
        <w:trPr>
          <w:trHeight w:val="202"/>
        </w:trPr>
        <w:tc>
          <w:tcPr>
            <w:tcW w:w="1710" w:type="dxa"/>
          </w:tcPr>
          <w:p w:rsidR="008F02CE" w:rsidRPr="0056659C" w:rsidRDefault="008F02CE" w:rsidP="00837CD0">
            <w:pPr>
              <w:spacing w:after="0"/>
              <w:rPr>
                <w:rFonts w:ascii="Times New Roman" w:eastAsia="Times New Roman" w:hAnsi="Times New Roman"/>
                <w:b/>
                <w:sz w:val="24"/>
                <w:szCs w:val="22"/>
              </w:rPr>
            </w:pPr>
            <w:r w:rsidRPr="0056659C">
              <w:rPr>
                <w:rFonts w:ascii="Times New Roman" w:eastAsia="Times New Roman" w:hAnsi="Times New Roman"/>
                <w:b/>
                <w:sz w:val="24"/>
                <w:szCs w:val="22"/>
              </w:rPr>
              <w:t>Referred by</w:t>
            </w:r>
          </w:p>
        </w:tc>
        <w:tc>
          <w:tcPr>
            <w:tcW w:w="4282" w:type="dxa"/>
            <w:gridSpan w:val="2"/>
          </w:tcPr>
          <w:p w:rsidR="008F02CE" w:rsidRPr="0056659C" w:rsidRDefault="008F02CE" w:rsidP="00837CD0">
            <w:pPr>
              <w:tabs>
                <w:tab w:val="left" w:pos="7230"/>
              </w:tabs>
              <w:spacing w:after="0"/>
              <w:rPr>
                <w:rFonts w:ascii="Times New Roman" w:eastAsia="Times New Roman" w:hAnsi="Times New Roman"/>
                <w:b/>
                <w:sz w:val="24"/>
                <w:szCs w:val="22"/>
              </w:rPr>
            </w:pPr>
          </w:p>
        </w:tc>
        <w:tc>
          <w:tcPr>
            <w:tcW w:w="3368" w:type="dxa"/>
            <w:gridSpan w:val="3"/>
          </w:tcPr>
          <w:p w:rsidR="008F02CE" w:rsidRPr="0056659C" w:rsidRDefault="008F02CE" w:rsidP="00837CD0">
            <w:pPr>
              <w:tabs>
                <w:tab w:val="left" w:pos="7230"/>
              </w:tabs>
              <w:spacing w:after="0"/>
              <w:jc w:val="center"/>
              <w:rPr>
                <w:rFonts w:ascii="Times New Roman" w:eastAsia="Times New Roman" w:hAnsi="Times New Roman"/>
                <w:b/>
                <w:sz w:val="24"/>
                <w:szCs w:val="22"/>
              </w:rPr>
            </w:pPr>
          </w:p>
        </w:tc>
      </w:tr>
    </w:tbl>
    <w:p w:rsidR="008F02CE" w:rsidRPr="0056659C" w:rsidRDefault="008F02CE" w:rsidP="008F02CE">
      <w:pPr>
        <w:spacing w:after="0"/>
        <w:rPr>
          <w:rFonts w:ascii="Times New Roman" w:hAnsi="Times New Roman"/>
          <w:i/>
          <w:iCs/>
          <w:sz w:val="24"/>
          <w:szCs w:val="22"/>
        </w:rPr>
      </w:pPr>
      <w:r w:rsidRPr="0056659C">
        <w:rPr>
          <w:rFonts w:ascii="Times New Roman" w:hAnsi="Times New Roman"/>
          <w:i/>
          <w:iCs/>
          <w:sz w:val="24"/>
          <w:szCs w:val="22"/>
        </w:rPr>
        <w:t xml:space="preserve"> </w:t>
      </w:r>
    </w:p>
    <w:p w:rsidR="008F02CE" w:rsidRPr="008F02CE" w:rsidRDefault="008F02CE" w:rsidP="008F02CE">
      <w:pPr>
        <w:pStyle w:val="Heading2"/>
        <w:jc w:val="center"/>
        <w:rPr>
          <w:rFonts w:ascii="Times New Roman" w:hAnsi="Times New Roman" w:cs="Times New Roman"/>
          <w:color w:val="auto"/>
          <w:sz w:val="24"/>
          <w:szCs w:val="20"/>
          <w:u w:val="single"/>
        </w:rPr>
      </w:pPr>
      <w:r w:rsidRPr="008F02CE">
        <w:rPr>
          <w:rFonts w:ascii="Times New Roman" w:hAnsi="Times New Roman" w:cs="Times New Roman"/>
          <w:color w:val="auto"/>
          <w:sz w:val="24"/>
          <w:szCs w:val="20"/>
          <w:u w:val="single"/>
        </w:rPr>
        <w:t>CT UROGRAPHY</w:t>
      </w:r>
    </w:p>
    <w:p w:rsidR="008F02CE" w:rsidRPr="0056659C" w:rsidRDefault="008F02CE" w:rsidP="008F02CE">
      <w:pPr>
        <w:spacing w:line="240" w:lineRule="auto"/>
        <w:jc w:val="both"/>
        <w:rPr>
          <w:rFonts w:ascii="Times New Roman" w:hAnsi="Times New Roman"/>
          <w:i/>
          <w:iCs/>
          <w:sz w:val="20"/>
          <w:szCs w:val="24"/>
        </w:rPr>
      </w:pPr>
      <w:r w:rsidRPr="0056659C">
        <w:rPr>
          <w:rFonts w:ascii="Times New Roman" w:hAnsi="Times New Roman"/>
          <w:b/>
          <w:i/>
          <w:iCs/>
          <w:sz w:val="20"/>
          <w:szCs w:val="24"/>
        </w:rPr>
        <w:t xml:space="preserve">Protocol: </w:t>
      </w:r>
      <w:r w:rsidRPr="0056659C">
        <w:rPr>
          <w:rFonts w:ascii="Times New Roman" w:hAnsi="Times New Roman"/>
          <w:i/>
          <w:iCs/>
          <w:sz w:val="20"/>
          <w:szCs w:val="24"/>
        </w:rPr>
        <w:t>Serial axial contiguous 5 mm sections were obtained from superior pole of Kidneys</w:t>
      </w:r>
      <w:r w:rsidRPr="0056659C">
        <w:rPr>
          <w:rFonts w:ascii="Times New Roman" w:hAnsi="Times New Roman"/>
          <w:b/>
          <w:i/>
          <w:iCs/>
          <w:sz w:val="20"/>
          <w:szCs w:val="24"/>
        </w:rPr>
        <w:t xml:space="preserve"> </w:t>
      </w:r>
      <w:r w:rsidRPr="0056659C">
        <w:rPr>
          <w:rFonts w:ascii="Times New Roman" w:hAnsi="Times New Roman"/>
          <w:i/>
          <w:iCs/>
          <w:sz w:val="20"/>
          <w:szCs w:val="24"/>
        </w:rPr>
        <w:t>to the level, after administration of oral and I/V contrast media.</w:t>
      </w:r>
    </w:p>
    <w:p w:rsidR="008F02CE" w:rsidRPr="0056659C" w:rsidRDefault="008F02CE" w:rsidP="008F02CE">
      <w:pPr>
        <w:spacing w:line="240" w:lineRule="auto"/>
        <w:jc w:val="both"/>
        <w:rPr>
          <w:rFonts w:ascii="Times New Roman" w:hAnsi="Times New Roman"/>
          <w:b/>
          <w:sz w:val="24"/>
          <w:szCs w:val="24"/>
          <w:u w:val="single"/>
        </w:rPr>
      </w:pPr>
      <w:r w:rsidRPr="0056659C">
        <w:rPr>
          <w:rFonts w:ascii="Times New Roman" w:hAnsi="Times New Roman"/>
          <w:b/>
          <w:sz w:val="24"/>
          <w:szCs w:val="24"/>
          <w:u w:val="single"/>
        </w:rPr>
        <w:t>FINDINGS</w:t>
      </w:r>
      <w:r w:rsidRPr="0056659C">
        <w:rPr>
          <w:rFonts w:ascii="Times New Roman" w:hAnsi="Times New Roman"/>
          <w:b/>
          <w:sz w:val="24"/>
          <w:szCs w:val="24"/>
        </w:rPr>
        <w:t>:</w:t>
      </w:r>
    </w:p>
    <w:p w:rsidR="008F02CE" w:rsidRPr="0056659C" w:rsidRDefault="008F02CE" w:rsidP="008F02CE">
      <w:pPr>
        <w:spacing w:line="240" w:lineRule="auto"/>
        <w:jc w:val="both"/>
        <w:rPr>
          <w:rFonts w:ascii="Times New Roman" w:hAnsi="Times New Roman"/>
          <w:sz w:val="24"/>
          <w:szCs w:val="24"/>
        </w:rPr>
      </w:pPr>
      <w:r w:rsidRPr="0056659C">
        <w:rPr>
          <w:rFonts w:ascii="Times New Roman" w:hAnsi="Times New Roman"/>
          <w:b/>
          <w:sz w:val="24"/>
          <w:szCs w:val="24"/>
        </w:rPr>
        <w:t xml:space="preserve">RIGHT KIDNEY: </w:t>
      </w:r>
      <w:r w:rsidRPr="0056659C">
        <w:rPr>
          <w:rFonts w:ascii="Times New Roman" w:hAnsi="Times New Roman"/>
          <w:sz w:val="24"/>
          <w:szCs w:val="24"/>
        </w:rPr>
        <w:t>show normal position, size, contour, rotation and parenchymal attenuation pattern. No contour distortion/ space occupying lesion seen in the cortex and medullary region.</w:t>
      </w:r>
    </w:p>
    <w:p w:rsidR="008F02CE" w:rsidRPr="0056659C" w:rsidRDefault="008F02CE" w:rsidP="008F02CE">
      <w:pPr>
        <w:spacing w:line="240" w:lineRule="auto"/>
        <w:jc w:val="both"/>
        <w:rPr>
          <w:rFonts w:ascii="Times New Roman" w:hAnsi="Times New Roman"/>
          <w:sz w:val="24"/>
          <w:szCs w:val="24"/>
        </w:rPr>
      </w:pPr>
      <w:r w:rsidRPr="0056659C">
        <w:rPr>
          <w:rFonts w:ascii="Times New Roman" w:hAnsi="Times New Roman"/>
          <w:sz w:val="24"/>
          <w:szCs w:val="24"/>
        </w:rPr>
        <w:t xml:space="preserve">Uptake, concentration and excretion of contrast </w:t>
      </w:r>
      <w:proofErr w:type="gramStart"/>
      <w:r w:rsidRPr="0056659C">
        <w:rPr>
          <w:rFonts w:ascii="Times New Roman" w:hAnsi="Times New Roman"/>
          <w:sz w:val="24"/>
          <w:szCs w:val="24"/>
        </w:rPr>
        <w:t>is</w:t>
      </w:r>
      <w:proofErr w:type="gramEnd"/>
      <w:r w:rsidRPr="0056659C">
        <w:rPr>
          <w:rFonts w:ascii="Times New Roman" w:hAnsi="Times New Roman"/>
          <w:sz w:val="24"/>
          <w:szCs w:val="24"/>
        </w:rPr>
        <w:t xml:space="preserve"> prompt by the Kidney. The pelvicalyceal system shows normal contour and configuration on right side. No mass is seen in the renal pelvis region. The renal veins show normal course, caliber and contour. Ureter is normal in course and calibre.</w:t>
      </w:r>
    </w:p>
    <w:p w:rsidR="008F02CE" w:rsidRPr="0056659C" w:rsidRDefault="008F02CE" w:rsidP="008F02CE">
      <w:pPr>
        <w:spacing w:line="240" w:lineRule="auto"/>
        <w:jc w:val="both"/>
        <w:rPr>
          <w:rFonts w:ascii="Times New Roman" w:hAnsi="Times New Roman"/>
          <w:sz w:val="24"/>
          <w:szCs w:val="24"/>
        </w:rPr>
      </w:pPr>
      <w:r w:rsidRPr="0056659C">
        <w:rPr>
          <w:rFonts w:ascii="Times New Roman" w:hAnsi="Times New Roman"/>
          <w:b/>
          <w:bCs/>
          <w:sz w:val="24"/>
          <w:szCs w:val="24"/>
        </w:rPr>
        <w:t>LEFT KIDNEY:</w:t>
      </w:r>
      <w:r w:rsidRPr="0056659C">
        <w:rPr>
          <w:rFonts w:ascii="Times New Roman" w:hAnsi="Times New Roman"/>
          <w:sz w:val="24"/>
          <w:szCs w:val="24"/>
        </w:rPr>
        <w:t xml:space="preserve"> show normal position, size, contour, rotation and parenchymal attenuation pattern. No contour distortion/ space occupying lesion seen in the cortex and medullary region.</w:t>
      </w:r>
    </w:p>
    <w:p w:rsidR="008F02CE" w:rsidRPr="0056659C" w:rsidRDefault="008F02CE" w:rsidP="008F02CE">
      <w:pPr>
        <w:spacing w:line="240" w:lineRule="auto"/>
        <w:jc w:val="both"/>
        <w:rPr>
          <w:rFonts w:ascii="Times New Roman" w:hAnsi="Times New Roman"/>
          <w:sz w:val="24"/>
          <w:szCs w:val="24"/>
        </w:rPr>
      </w:pPr>
      <w:r w:rsidRPr="0056659C">
        <w:rPr>
          <w:rFonts w:ascii="Times New Roman" w:hAnsi="Times New Roman"/>
          <w:sz w:val="24"/>
          <w:szCs w:val="24"/>
        </w:rPr>
        <w:t xml:space="preserve">Uptake, concentration and excretion of contrast </w:t>
      </w:r>
      <w:proofErr w:type="gramStart"/>
      <w:r w:rsidRPr="0056659C">
        <w:rPr>
          <w:rFonts w:ascii="Times New Roman" w:hAnsi="Times New Roman"/>
          <w:sz w:val="24"/>
          <w:szCs w:val="24"/>
        </w:rPr>
        <w:t>is</w:t>
      </w:r>
      <w:proofErr w:type="gramEnd"/>
      <w:r w:rsidRPr="0056659C">
        <w:rPr>
          <w:rFonts w:ascii="Times New Roman" w:hAnsi="Times New Roman"/>
          <w:sz w:val="24"/>
          <w:szCs w:val="24"/>
        </w:rPr>
        <w:t xml:space="preserve"> prompt by the Kidney. The pelvicalyceal system shows normal contour and configuration on left side. No mass is seen in the renal pelvis region. The renal veins show normal course, caliber and contour. Ureter is normal in course and calibre.</w:t>
      </w:r>
    </w:p>
    <w:p w:rsidR="008F02CE" w:rsidRPr="0056659C" w:rsidRDefault="008F02CE" w:rsidP="008F02CE">
      <w:pPr>
        <w:spacing w:line="240" w:lineRule="auto"/>
        <w:jc w:val="both"/>
        <w:rPr>
          <w:rFonts w:ascii="Times New Roman" w:hAnsi="Times New Roman"/>
          <w:sz w:val="24"/>
          <w:szCs w:val="24"/>
        </w:rPr>
      </w:pPr>
      <w:r w:rsidRPr="0056659C">
        <w:rPr>
          <w:rFonts w:ascii="Times New Roman" w:hAnsi="Times New Roman"/>
          <w:b/>
          <w:sz w:val="24"/>
          <w:szCs w:val="24"/>
        </w:rPr>
        <w:t xml:space="preserve">URINARY BLADDER: </w:t>
      </w:r>
      <w:r w:rsidRPr="0056659C">
        <w:rPr>
          <w:rFonts w:ascii="Times New Roman" w:hAnsi="Times New Roman"/>
          <w:sz w:val="24"/>
          <w:szCs w:val="24"/>
        </w:rPr>
        <w:t xml:space="preserve">The well distended Urinary Bladder and shows wall thickening. No intranumeral mass or calculi seen. </w:t>
      </w:r>
    </w:p>
    <w:p w:rsidR="008F02CE" w:rsidRPr="0056659C" w:rsidRDefault="008F02CE" w:rsidP="008F02CE">
      <w:pPr>
        <w:spacing w:after="0" w:line="360" w:lineRule="auto"/>
        <w:jc w:val="both"/>
        <w:rPr>
          <w:rFonts w:ascii="Times New Roman" w:hAnsi="Times New Roman"/>
          <w:b/>
          <w:sz w:val="24"/>
          <w:szCs w:val="24"/>
        </w:rPr>
      </w:pPr>
      <w:r w:rsidRPr="0056659C">
        <w:rPr>
          <w:rFonts w:ascii="Times New Roman" w:hAnsi="Times New Roman"/>
          <w:b/>
          <w:sz w:val="24"/>
          <w:szCs w:val="24"/>
          <w:u w:val="single"/>
        </w:rPr>
        <w:t>IMPRESSION</w:t>
      </w:r>
      <w:r w:rsidRPr="0056659C">
        <w:rPr>
          <w:rFonts w:ascii="Times New Roman" w:hAnsi="Times New Roman"/>
          <w:b/>
          <w:sz w:val="24"/>
          <w:szCs w:val="24"/>
        </w:rPr>
        <w:t>:</w:t>
      </w:r>
    </w:p>
    <w:p w:rsidR="008F02CE" w:rsidRPr="0056659C" w:rsidRDefault="008F02CE" w:rsidP="008F02CE">
      <w:pPr>
        <w:pStyle w:val="ListParagraph"/>
        <w:numPr>
          <w:ilvl w:val="0"/>
          <w:numId w:val="1"/>
        </w:numPr>
        <w:spacing w:after="0" w:line="360" w:lineRule="auto"/>
        <w:ind w:left="360"/>
        <w:jc w:val="both"/>
        <w:rPr>
          <w:rFonts w:ascii="Times New Roman" w:hAnsi="Times New Roman"/>
          <w:b/>
          <w:sz w:val="24"/>
          <w:szCs w:val="24"/>
        </w:rPr>
      </w:pPr>
      <w:r w:rsidRPr="0056659C">
        <w:rPr>
          <w:rFonts w:ascii="Times New Roman" w:hAnsi="Times New Roman"/>
          <w:b/>
          <w:sz w:val="24"/>
          <w:szCs w:val="24"/>
        </w:rPr>
        <w:t xml:space="preserve">No Significant abnormality seen in CT Urography Study. </w:t>
      </w:r>
    </w:p>
    <w:p w:rsidR="008F02CE" w:rsidRPr="0056659C" w:rsidRDefault="008F02CE" w:rsidP="008F02CE">
      <w:pPr>
        <w:spacing w:after="0" w:line="360" w:lineRule="auto"/>
        <w:jc w:val="both"/>
        <w:rPr>
          <w:rFonts w:ascii="Times New Roman" w:eastAsia="Times New Roman" w:hAnsi="Times New Roman"/>
          <w:b/>
          <w:i/>
          <w:iCs/>
          <w:sz w:val="14"/>
          <w:szCs w:val="12"/>
        </w:rPr>
      </w:pPr>
    </w:p>
    <w:p w:rsidR="008F02CE" w:rsidRPr="0056659C" w:rsidRDefault="008F02CE" w:rsidP="008F02CE">
      <w:pPr>
        <w:spacing w:after="0" w:line="360" w:lineRule="auto"/>
        <w:jc w:val="both"/>
        <w:rPr>
          <w:rFonts w:ascii="Times New Roman" w:eastAsia="Times New Roman" w:hAnsi="Times New Roman"/>
          <w:b/>
          <w:i/>
          <w:iCs/>
          <w:sz w:val="24"/>
          <w:szCs w:val="22"/>
        </w:rPr>
      </w:pPr>
      <w:r w:rsidRPr="0056659C">
        <w:rPr>
          <w:rFonts w:ascii="Times New Roman" w:eastAsia="Times New Roman" w:hAnsi="Times New Roman"/>
          <w:b/>
          <w:i/>
          <w:iCs/>
          <w:sz w:val="24"/>
          <w:szCs w:val="22"/>
        </w:rPr>
        <w:t>Adv: Clinical correlation.</w:t>
      </w:r>
    </w:p>
    <w:p w:rsidR="00E227A9" w:rsidRDefault="00E227A9"/>
    <w:sectPr w:rsidR="00E227A9" w:rsidSect="00E227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05206"/>
    <w:multiLevelType w:val="hybridMultilevel"/>
    <w:tmpl w:val="F30EEA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F02CE"/>
    <w:rsid w:val="00004A14"/>
    <w:rsid w:val="00021C90"/>
    <w:rsid w:val="00046069"/>
    <w:rsid w:val="00050088"/>
    <w:rsid w:val="000558E8"/>
    <w:rsid w:val="00076C9C"/>
    <w:rsid w:val="000A5628"/>
    <w:rsid w:val="000C6D77"/>
    <w:rsid w:val="0011662F"/>
    <w:rsid w:val="00120229"/>
    <w:rsid w:val="00120AAB"/>
    <w:rsid w:val="00134E94"/>
    <w:rsid w:val="001418CE"/>
    <w:rsid w:val="00143C8B"/>
    <w:rsid w:val="00162396"/>
    <w:rsid w:val="00162A78"/>
    <w:rsid w:val="001778B2"/>
    <w:rsid w:val="00184F3D"/>
    <w:rsid w:val="001E2BA5"/>
    <w:rsid w:val="001F3649"/>
    <w:rsid w:val="001F6B21"/>
    <w:rsid w:val="00203DB9"/>
    <w:rsid w:val="0020619D"/>
    <w:rsid w:val="00214675"/>
    <w:rsid w:val="00233731"/>
    <w:rsid w:val="002351A0"/>
    <w:rsid w:val="002407C9"/>
    <w:rsid w:val="00265452"/>
    <w:rsid w:val="00266373"/>
    <w:rsid w:val="002705A2"/>
    <w:rsid w:val="00271526"/>
    <w:rsid w:val="00271948"/>
    <w:rsid w:val="002746FF"/>
    <w:rsid w:val="00274C95"/>
    <w:rsid w:val="0028251B"/>
    <w:rsid w:val="0029090E"/>
    <w:rsid w:val="002940B2"/>
    <w:rsid w:val="002C22E3"/>
    <w:rsid w:val="002C3A6F"/>
    <w:rsid w:val="002D09BF"/>
    <w:rsid w:val="002F0A00"/>
    <w:rsid w:val="002F384F"/>
    <w:rsid w:val="002F44BA"/>
    <w:rsid w:val="002F5D6A"/>
    <w:rsid w:val="003007B9"/>
    <w:rsid w:val="0033754D"/>
    <w:rsid w:val="00357BAA"/>
    <w:rsid w:val="003626AB"/>
    <w:rsid w:val="003664E6"/>
    <w:rsid w:val="00373665"/>
    <w:rsid w:val="00375088"/>
    <w:rsid w:val="0038050A"/>
    <w:rsid w:val="0039193F"/>
    <w:rsid w:val="003A5F64"/>
    <w:rsid w:val="003B58B8"/>
    <w:rsid w:val="003D2091"/>
    <w:rsid w:val="00411021"/>
    <w:rsid w:val="0041253C"/>
    <w:rsid w:val="004205CF"/>
    <w:rsid w:val="00430C49"/>
    <w:rsid w:val="00433B40"/>
    <w:rsid w:val="0047476E"/>
    <w:rsid w:val="004A39D0"/>
    <w:rsid w:val="004C066B"/>
    <w:rsid w:val="004D2D0B"/>
    <w:rsid w:val="004D6F0C"/>
    <w:rsid w:val="0051589B"/>
    <w:rsid w:val="00531D95"/>
    <w:rsid w:val="0053339F"/>
    <w:rsid w:val="00565E7C"/>
    <w:rsid w:val="005701CF"/>
    <w:rsid w:val="0058660E"/>
    <w:rsid w:val="005A108E"/>
    <w:rsid w:val="005B41DA"/>
    <w:rsid w:val="005B46F7"/>
    <w:rsid w:val="005D513D"/>
    <w:rsid w:val="005E4627"/>
    <w:rsid w:val="005F4621"/>
    <w:rsid w:val="0060176F"/>
    <w:rsid w:val="00602EA0"/>
    <w:rsid w:val="006033D5"/>
    <w:rsid w:val="00607D70"/>
    <w:rsid w:val="0061274C"/>
    <w:rsid w:val="00613172"/>
    <w:rsid w:val="00622238"/>
    <w:rsid w:val="006248C8"/>
    <w:rsid w:val="006404FB"/>
    <w:rsid w:val="00652ECB"/>
    <w:rsid w:val="006610A8"/>
    <w:rsid w:val="00673C67"/>
    <w:rsid w:val="006766D0"/>
    <w:rsid w:val="006872EC"/>
    <w:rsid w:val="006B4837"/>
    <w:rsid w:val="006C0522"/>
    <w:rsid w:val="006C74FF"/>
    <w:rsid w:val="006C7ACE"/>
    <w:rsid w:val="006D1C9A"/>
    <w:rsid w:val="006D65E5"/>
    <w:rsid w:val="006D6CBB"/>
    <w:rsid w:val="006D7B19"/>
    <w:rsid w:val="006F26BC"/>
    <w:rsid w:val="006F28C3"/>
    <w:rsid w:val="006F388A"/>
    <w:rsid w:val="00701A6E"/>
    <w:rsid w:val="00707D2C"/>
    <w:rsid w:val="0072467F"/>
    <w:rsid w:val="0074678B"/>
    <w:rsid w:val="00750B23"/>
    <w:rsid w:val="00754594"/>
    <w:rsid w:val="00755059"/>
    <w:rsid w:val="007626A5"/>
    <w:rsid w:val="007C1E63"/>
    <w:rsid w:val="007F473F"/>
    <w:rsid w:val="00802D3A"/>
    <w:rsid w:val="00817C61"/>
    <w:rsid w:val="00837DF7"/>
    <w:rsid w:val="00842828"/>
    <w:rsid w:val="0084575F"/>
    <w:rsid w:val="008525AA"/>
    <w:rsid w:val="008530DB"/>
    <w:rsid w:val="008A0B13"/>
    <w:rsid w:val="008A3A67"/>
    <w:rsid w:val="008B656E"/>
    <w:rsid w:val="008C2D68"/>
    <w:rsid w:val="008C2D9A"/>
    <w:rsid w:val="008D569B"/>
    <w:rsid w:val="008E143C"/>
    <w:rsid w:val="008F02CE"/>
    <w:rsid w:val="008F6E47"/>
    <w:rsid w:val="00904762"/>
    <w:rsid w:val="009113BE"/>
    <w:rsid w:val="00911577"/>
    <w:rsid w:val="00952D2C"/>
    <w:rsid w:val="009559CC"/>
    <w:rsid w:val="00962E87"/>
    <w:rsid w:val="009720FF"/>
    <w:rsid w:val="00984317"/>
    <w:rsid w:val="00984B14"/>
    <w:rsid w:val="009A0944"/>
    <w:rsid w:val="009A0DDE"/>
    <w:rsid w:val="009C1355"/>
    <w:rsid w:val="009C24A2"/>
    <w:rsid w:val="009C77C8"/>
    <w:rsid w:val="009C7B8A"/>
    <w:rsid w:val="009D4F6E"/>
    <w:rsid w:val="009E1CA0"/>
    <w:rsid w:val="00A05B77"/>
    <w:rsid w:val="00A1580A"/>
    <w:rsid w:val="00A234BB"/>
    <w:rsid w:val="00A52DDE"/>
    <w:rsid w:val="00A5338D"/>
    <w:rsid w:val="00A659A9"/>
    <w:rsid w:val="00A70ABA"/>
    <w:rsid w:val="00A810C7"/>
    <w:rsid w:val="00A8202B"/>
    <w:rsid w:val="00A97023"/>
    <w:rsid w:val="00AA5E12"/>
    <w:rsid w:val="00AD62FA"/>
    <w:rsid w:val="00AD7CF0"/>
    <w:rsid w:val="00AF57F3"/>
    <w:rsid w:val="00AF5E4D"/>
    <w:rsid w:val="00B02832"/>
    <w:rsid w:val="00B02E80"/>
    <w:rsid w:val="00B32A69"/>
    <w:rsid w:val="00B40425"/>
    <w:rsid w:val="00B63267"/>
    <w:rsid w:val="00B660FB"/>
    <w:rsid w:val="00B7156B"/>
    <w:rsid w:val="00BA1ADE"/>
    <w:rsid w:val="00BC32B6"/>
    <w:rsid w:val="00BD41C6"/>
    <w:rsid w:val="00C0179B"/>
    <w:rsid w:val="00C16C2B"/>
    <w:rsid w:val="00C7228B"/>
    <w:rsid w:val="00C93E31"/>
    <w:rsid w:val="00CA6E23"/>
    <w:rsid w:val="00CE177A"/>
    <w:rsid w:val="00CE24E0"/>
    <w:rsid w:val="00CE59DC"/>
    <w:rsid w:val="00CE6E5C"/>
    <w:rsid w:val="00CF655C"/>
    <w:rsid w:val="00D0117B"/>
    <w:rsid w:val="00D30E5E"/>
    <w:rsid w:val="00D477AE"/>
    <w:rsid w:val="00D63B58"/>
    <w:rsid w:val="00D64EE9"/>
    <w:rsid w:val="00DA1570"/>
    <w:rsid w:val="00DD7DF2"/>
    <w:rsid w:val="00DE44F9"/>
    <w:rsid w:val="00DF59B4"/>
    <w:rsid w:val="00DF78A3"/>
    <w:rsid w:val="00E02399"/>
    <w:rsid w:val="00E0589A"/>
    <w:rsid w:val="00E05FE4"/>
    <w:rsid w:val="00E227A9"/>
    <w:rsid w:val="00E24C0C"/>
    <w:rsid w:val="00E3614B"/>
    <w:rsid w:val="00E473C5"/>
    <w:rsid w:val="00E62714"/>
    <w:rsid w:val="00E64A70"/>
    <w:rsid w:val="00E71C59"/>
    <w:rsid w:val="00E80718"/>
    <w:rsid w:val="00E861CF"/>
    <w:rsid w:val="00E97212"/>
    <w:rsid w:val="00EA34CE"/>
    <w:rsid w:val="00EA7772"/>
    <w:rsid w:val="00ED146E"/>
    <w:rsid w:val="00ED2600"/>
    <w:rsid w:val="00ED7EF6"/>
    <w:rsid w:val="00EE6D5C"/>
    <w:rsid w:val="00F02A4F"/>
    <w:rsid w:val="00F30FE3"/>
    <w:rsid w:val="00F37437"/>
    <w:rsid w:val="00F4430A"/>
    <w:rsid w:val="00F45DB2"/>
    <w:rsid w:val="00F46ECD"/>
    <w:rsid w:val="00F50B38"/>
    <w:rsid w:val="00F70EA4"/>
    <w:rsid w:val="00F75600"/>
    <w:rsid w:val="00FB540B"/>
    <w:rsid w:val="00FD4D5E"/>
    <w:rsid w:val="00FF670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2CE"/>
    <w:pPr>
      <w:spacing w:after="200" w:line="276" w:lineRule="auto"/>
    </w:pPr>
    <w:rPr>
      <w:rFonts w:eastAsiaTheme="minorEastAsia"/>
    </w:rPr>
  </w:style>
  <w:style w:type="paragraph" w:styleId="Heading2">
    <w:name w:val="heading 2"/>
    <w:basedOn w:val="Normal"/>
    <w:next w:val="Normal"/>
    <w:link w:val="Heading2Char"/>
    <w:unhideWhenUsed/>
    <w:qFormat/>
    <w:rsid w:val="008F02CE"/>
    <w:pPr>
      <w:keepNext/>
      <w:keepLines/>
      <w:spacing w:before="200" w:after="0"/>
      <w:outlineLvl w:val="1"/>
    </w:pPr>
    <w:rPr>
      <w:rFonts w:asciiTheme="majorHAnsi" w:eastAsiaTheme="majorEastAsia" w:hAnsiTheme="majorHAnsi" w:cstheme="majorBidi"/>
      <w:b/>
      <w:bCs/>
      <w:color w:val="4F81BD" w:themeColor="accent1"/>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F02CE"/>
    <w:rPr>
      <w:rFonts w:asciiTheme="majorHAnsi" w:eastAsiaTheme="majorEastAsia" w:hAnsiTheme="majorHAnsi" w:cstheme="majorBidi"/>
      <w:b/>
      <w:bCs/>
      <w:color w:val="4F81BD" w:themeColor="accent1"/>
      <w:sz w:val="26"/>
      <w:szCs w:val="26"/>
      <w:lang w:bidi="ar-SA"/>
    </w:rPr>
  </w:style>
  <w:style w:type="paragraph" w:styleId="ListParagraph">
    <w:name w:val="List Paragraph"/>
    <w:basedOn w:val="Normal"/>
    <w:uiPriority w:val="34"/>
    <w:qFormat/>
    <w:rsid w:val="008F02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NCRIMS</dc:creator>
  <cp:lastModifiedBy>NCRIMS</cp:lastModifiedBy>
  <cp:revision>2</cp:revision>
  <dcterms:created xsi:type="dcterms:W3CDTF">2024-10-23T07:47:00Z</dcterms:created>
  <dcterms:modified xsi:type="dcterms:W3CDTF">2024-10-23T07:48:00Z</dcterms:modified>
</cp:coreProperties>
</file>