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3940"/>
        <w:gridCol w:w="1260"/>
        <w:gridCol w:w="2250"/>
      </w:tblGrid>
      <w:tr>
        <w:trPr>
          <w:trHeight w:val="252"/>
        </w:trPr>
        <w:tc>
          <w:tcPr>
            <w:tcW w:w="173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Patient Name</w:t>
            </w:r>
          </w:p>
        </w:tc>
        <w:tc>
          <w:tcPr>
            <w:tcW w:w="394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Age / Sex</w:t>
            </w:r>
          </w:p>
        </w:tc>
        <w:tc>
          <w:tcPr>
            <w:tcW w:w="225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>
        <w:trPr>
          <w:trHeight w:val="252"/>
        </w:trPr>
        <w:tc>
          <w:tcPr>
            <w:tcW w:w="173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Hospital ID</w:t>
            </w:r>
          </w:p>
        </w:tc>
        <w:tc>
          <w:tcPr>
            <w:tcW w:w="394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Date</w:t>
            </w:r>
          </w:p>
        </w:tc>
        <w:tc>
          <w:tcPr>
            <w:tcW w:w="225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>
        <w:trPr>
          <w:trHeight w:val="265"/>
        </w:trPr>
        <w:tc>
          <w:tcPr>
            <w:tcW w:w="173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Ref. By</w:t>
            </w:r>
          </w:p>
        </w:tc>
        <w:tc>
          <w:tcPr>
            <w:tcW w:w="394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50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MRI CERVICAL SPINE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Protocol: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Multiplanar and multiaxial MR sequences of cervical spine.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OBSERVATIONS:</w:t>
      </w:r>
    </w:p>
    <w:p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Cervical spine:</w:t>
      </w:r>
    </w:p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Mild straightening of cervical spine.</w:t>
      </w:r>
    </w:p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Degenerative changes noted in the form of few marginal osteophytes involving cervical vertebrae.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Vertebral bodies show normal marrow signal intensities. Appendages are normal. 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Cervico-medullary and cranio-vertebral junctions are normal. No evidence of Chiari malformation. No evidence of atlanto-axial dislocation. No evidence of syringomyelia.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Spinal cord is normal in size and signal intensity. No evidence of intradural/ extradural/ intramedullary mass lesion.</w:t>
      </w:r>
    </w:p>
    <w:p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Pre and paravertebral soft tissues are normal.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GB" w:eastAsia="en-US"/>
        </w:rPr>
        <w:t>AP spinal canal diameter at pedicular levels are as follows: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Cs w:val="24"/>
          <w:lang w:val="en-GB" w:eastAsia="en-US"/>
        </w:rPr>
        <w:t>C2 level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: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1. cms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Cs w:val="24"/>
          <w:lang w:val="en-GB" w:eastAsia="en-US"/>
        </w:rPr>
        <w:t>C3 level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: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1. cms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Cs w:val="24"/>
          <w:lang w:val="en-GB" w:eastAsia="en-US"/>
        </w:rPr>
        <w:t>C4 level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: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1. cms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Cs w:val="24"/>
          <w:lang w:val="en-GB" w:eastAsia="en-US"/>
        </w:rPr>
        <w:t>C5 level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: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1. cms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Cs w:val="24"/>
          <w:lang w:val="en-GB" w:eastAsia="en-US"/>
        </w:rPr>
        <w:t>C6 level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: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1. cms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Cs w:val="24"/>
          <w:lang w:val="en-GB" w:eastAsia="en-US"/>
        </w:rPr>
        <w:t>C7 level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:</w:t>
      </w:r>
      <w:r>
        <w:rPr>
          <w:rFonts w:ascii="Times New Roman" w:eastAsiaTheme="minorHAnsi" w:hAnsi="Times New Roman" w:cs="Times New Roman"/>
          <w:szCs w:val="24"/>
          <w:lang w:val="en-GB" w:eastAsia="en-US"/>
        </w:rPr>
        <w:tab/>
        <w:t>1. cms</w:t>
      </w:r>
    </w:p>
    <w:p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Intervertebral discs:</w:t>
      </w:r>
    </w:p>
    <w:p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Disc dehydration is noted at all levels.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  <w:t>C2-3: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  <w:t>C3-4: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  <w:t>C4-5: Diffuse disc bulge indenting anterior thecal sac casuing mild narrowing of bilateral lateral reccess and neural foramina without impinging exiting nerve root.</w:t>
      </w:r>
    </w:p>
    <w:p>
      <w:pPr>
        <w:spacing w:after="0" w:line="360" w:lineRule="auto"/>
      </w:pPr>
      <w:r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  <w:t>Other cervical discs:</w:t>
      </w:r>
      <w: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No significant herniation.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GB" w:eastAsia="en-US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en-GB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GB" w:eastAsia="en-US"/>
        </w:rPr>
        <w:t xml:space="preserve">IMPRESSION:   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GB" w:eastAsia="en-US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Hlk83738674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Mild cervical spondylosis.</w:t>
      </w:r>
      <w:bookmarkStart w:id="1" w:name="_GoBack"/>
      <w:bookmarkEnd w:id="0"/>
      <w:bookmarkEnd w:id="1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426FA"/>
    <w:multiLevelType w:val="hybridMultilevel"/>
    <w:tmpl w:val="0AF6D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5A714-5458-4E3F-9E48-3F9C957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2021-09-27T09:28:00Z</dcterms:created>
  <dcterms:modified xsi:type="dcterms:W3CDTF">2024-10-23T05:17:00Z</dcterms:modified>
</cp:coreProperties>
</file>